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AF6C" w14:textId="011CFC4D" w:rsidR="008A5880" w:rsidRPr="00D91AA3" w:rsidRDefault="008A5880" w:rsidP="008A5880">
      <w:pPr>
        <w:pStyle w:val="Normala1"/>
        <w:jc w:val="center"/>
        <w:rPr>
          <w:b/>
          <w:bCs/>
          <w:sz w:val="28"/>
          <w:szCs w:val="28"/>
          <w:lang w:val="eu-ES"/>
        </w:rPr>
      </w:pPr>
      <w:r>
        <w:rPr>
          <w:b/>
          <w:bCs/>
          <w:sz w:val="28"/>
          <w:szCs w:val="28"/>
          <w:lang w:val="eu-ES"/>
        </w:rPr>
        <w:t>202</w:t>
      </w:r>
      <w:r>
        <w:rPr>
          <w:b/>
          <w:bCs/>
          <w:sz w:val="28"/>
          <w:szCs w:val="28"/>
          <w:lang w:val="eu-ES"/>
        </w:rPr>
        <w:t>5e</w:t>
      </w:r>
      <w:r>
        <w:rPr>
          <w:b/>
          <w:bCs/>
          <w:sz w:val="28"/>
          <w:szCs w:val="28"/>
          <w:lang w:val="eu-ES"/>
        </w:rPr>
        <w:t>ko martxoaren 8rako</w:t>
      </w:r>
      <w:r>
        <w:rPr>
          <w:b/>
          <w:bCs/>
          <w:sz w:val="28"/>
          <w:szCs w:val="28"/>
          <w:lang w:val="eu-ES"/>
        </w:rPr>
        <w:t>,</w:t>
      </w:r>
      <w:r w:rsidRPr="008A5880">
        <w:rPr>
          <w:lang w:val="eu"/>
        </w:rPr>
        <w:t xml:space="preserve"> </w:t>
      </w:r>
      <w:r w:rsidRPr="008A5880">
        <w:rPr>
          <w:b/>
          <w:bCs/>
          <w:sz w:val="28"/>
          <w:szCs w:val="28"/>
          <w:lang w:val="eu"/>
        </w:rPr>
        <w:t>Emakumeen Nazioarteko Eguna</w:t>
      </w:r>
      <w:r>
        <w:rPr>
          <w:b/>
          <w:bCs/>
          <w:sz w:val="28"/>
          <w:szCs w:val="28"/>
          <w:lang w:val="eu"/>
        </w:rPr>
        <w:t>,</w:t>
      </w:r>
      <w:r>
        <w:rPr>
          <w:b/>
          <w:bCs/>
          <w:sz w:val="28"/>
          <w:szCs w:val="28"/>
          <w:lang w:val="eu-ES"/>
        </w:rPr>
        <w:t xml:space="preserve"> </w:t>
      </w:r>
      <w:proofErr w:type="spellStart"/>
      <w:r>
        <w:rPr>
          <w:b/>
          <w:bCs/>
          <w:sz w:val="28"/>
          <w:szCs w:val="28"/>
          <w:lang w:val="eu-ES"/>
        </w:rPr>
        <w:t>Urizaharreko</w:t>
      </w:r>
      <w:proofErr w:type="spellEnd"/>
      <w:r>
        <w:rPr>
          <w:b/>
          <w:bCs/>
          <w:sz w:val="28"/>
          <w:szCs w:val="28"/>
          <w:lang w:val="eu-ES"/>
        </w:rPr>
        <w:t xml:space="preserve"> Udalaren Adierazpena</w:t>
      </w:r>
      <w:r>
        <w:rPr>
          <w:b/>
          <w:bCs/>
          <w:sz w:val="28"/>
          <w:szCs w:val="28"/>
          <w:lang w:val="eu-ES"/>
        </w:rPr>
        <w:t>.</w:t>
      </w:r>
    </w:p>
    <w:p w14:paraId="4C5608B9" w14:textId="77777777" w:rsidR="008A5880" w:rsidRPr="008A5880" w:rsidRDefault="008A5880" w:rsidP="008A5880">
      <w:pPr>
        <w:jc w:val="both"/>
        <w:rPr>
          <w:sz w:val="24"/>
          <w:szCs w:val="24"/>
          <w:lang w:val="eu"/>
        </w:rPr>
      </w:pPr>
    </w:p>
    <w:p w14:paraId="76AD4AEA" w14:textId="1C5D8F7A" w:rsidR="008A5880" w:rsidRPr="008A5880" w:rsidRDefault="008A5880" w:rsidP="008A5880">
      <w:p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 xml:space="preserve">Gaur, 2025eko martxoaren  8a, Emakumeen Nazioarteko Eguna dela eta, </w:t>
      </w:r>
      <w:proofErr w:type="spellStart"/>
      <w:r w:rsidRPr="008A5880">
        <w:rPr>
          <w:sz w:val="24"/>
          <w:szCs w:val="24"/>
          <w:lang w:val="eu"/>
        </w:rPr>
        <w:t>Beijingo</w:t>
      </w:r>
      <w:proofErr w:type="spellEnd"/>
      <w:r w:rsidRPr="008A5880">
        <w:rPr>
          <w:sz w:val="24"/>
          <w:szCs w:val="24"/>
          <w:lang w:val="eu"/>
        </w:rPr>
        <w:t xml:space="preserve"> Adierazpena eta Ekintza Plataforma adopzioaren 30. urteurreneko ospakizunarekin bat egin nahi dugu. 1995ean Beijingen egin zen Emakumeari buruzko IV. Mundu Konferentzian adostutako akordioek genero-berdintasuna, emakume eta neska guztien ahalduntzea eta giza eskubideak gauzatzeko munduko ibilbide-orria abian jarri zuten.</w:t>
      </w:r>
    </w:p>
    <w:p w14:paraId="711FDBC1" w14:textId="77777777" w:rsidR="008A5880" w:rsidRPr="008A5880" w:rsidRDefault="008A5880" w:rsidP="008A5880">
      <w:p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>Ibilitako azken 3 hamarkadetan aurrerapauso garrantzitsuak eman dira, baina bilakaera desorekatua izan da eta oraindik munduko herrialde bakar batek ere ez du lortu emakumeen eta gizonen arteko genero-berdintasuna. Hala eta guztiz ere, berdintasun-indizeek aurrerapena nabarmena izan dela erakusten dute, berdintasun-politiken araudi- eta erakunde-garapena eta mugimendu feministaren bultzada iraunkorra bateratu diren testuinguruetan.</w:t>
      </w:r>
    </w:p>
    <w:p w14:paraId="6E3E78EA" w14:textId="77777777" w:rsidR="008A5880" w:rsidRPr="008A5880" w:rsidRDefault="008A5880" w:rsidP="008A5880">
      <w:p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>30. urteurren horrek konpromisoak eta borondateak berritzeko aukera ematen digu, Beijingen adostutako berdintasunaren helburuak lortzeko, beharrezkoak diren baliabideak bideratuz, erronkei eta oraindik dirauten oztopoei aurre egiteko.</w:t>
      </w:r>
    </w:p>
    <w:p w14:paraId="6DB1A84F" w14:textId="77777777" w:rsidR="008A5880" w:rsidRPr="008A5880" w:rsidRDefault="008A5880" w:rsidP="008A5880">
      <w:p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>Euskal erakundeek eta, bereziki, tokiko gobernuek, 30 urte hauetan metatutako ebidentzia dute, eta horrek agenda feminista globalean oinarritutako berdintasun-politiken bermatu eta legitimatu egin du.</w:t>
      </w:r>
    </w:p>
    <w:p w14:paraId="5392CFEA" w14:textId="7FBC2086" w:rsidR="008A5880" w:rsidRPr="008A5880" w:rsidRDefault="008A5880" w:rsidP="008A5880">
      <w:p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>Euskal udalek genero-berdintasunaren lorpena bizkortzeko mundu-mugimenduarekin bat egin dute, emakumeen eta nesken ahalduntzearen eta emakumeen eskubideen defentsaren aldeko apustua eginez. Tokiko eremutik arlo kritiko globaletan aurrera egiten laguntzeko,</w:t>
      </w:r>
      <w:r>
        <w:rPr>
          <w:sz w:val="24"/>
          <w:szCs w:val="24"/>
          <w:lang w:val="eu"/>
        </w:rPr>
        <w:t xml:space="preserve"> </w:t>
      </w:r>
      <w:proofErr w:type="spellStart"/>
      <w:r w:rsidRPr="008A5880">
        <w:rPr>
          <w:sz w:val="24"/>
          <w:szCs w:val="24"/>
          <w:lang w:val="eu"/>
        </w:rPr>
        <w:t>Urizaharreko</w:t>
      </w:r>
      <w:proofErr w:type="spellEnd"/>
      <w:r w:rsidRPr="008A5880">
        <w:rPr>
          <w:sz w:val="24"/>
          <w:szCs w:val="24"/>
          <w:lang w:val="eu"/>
        </w:rPr>
        <w:t xml:space="preserve"> Udalak</w:t>
      </w:r>
      <w:r w:rsidRPr="008A5880">
        <w:rPr>
          <w:sz w:val="24"/>
          <w:szCs w:val="24"/>
          <w:lang w:val="eu"/>
        </w:rPr>
        <w:t xml:space="preserve">, aho batez, </w:t>
      </w:r>
      <w:r w:rsidRPr="008A5880">
        <w:rPr>
          <w:sz w:val="24"/>
          <w:szCs w:val="24"/>
          <w:lang w:val="eu"/>
        </w:rPr>
        <w:t>ondorengo konpromisoak hartuko ditu:</w:t>
      </w:r>
    </w:p>
    <w:p w14:paraId="0EEF228E" w14:textId="77777777" w:rsidR="008A5880" w:rsidRPr="008A5880" w:rsidRDefault="008A5880" w:rsidP="008A588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>Sustapen-egiturak baliabide eta langile nahikoz hornitzea, berdintasunerako eta indarkeria matxistaren aurkako borrokari buruzko politikak garatzeko, Berdintasunerako Politika Publikoen Kalitate-Estandarren arabera.</w:t>
      </w:r>
    </w:p>
    <w:p w14:paraId="0D0F40FD" w14:textId="5940F7ED" w:rsidR="008A5880" w:rsidRPr="008A5880" w:rsidRDefault="008A5880" w:rsidP="008A588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>Emakumeen elkartegintza eta elkarte feministak sustatzea, horien bidez, berdintasun politika publikoetan, emakumeak solaskideak izan daitezen eta eragin dezaten.</w:t>
      </w:r>
    </w:p>
    <w:p w14:paraId="1D3CCF74" w14:textId="2C742BAC" w:rsidR="008A5880" w:rsidRPr="008A5880" w:rsidRDefault="008A5880" w:rsidP="008A588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>Tokiko gobernuetan emakumeek eta gizonek berdintasunez parte hartzeko eta eragiteko errazten dituzten baldintzak sortzeko akordioak hartzea.</w:t>
      </w:r>
    </w:p>
    <w:p w14:paraId="40EF48B1" w14:textId="77777777" w:rsidR="008A5880" w:rsidRPr="008A5880" w:rsidRDefault="008A5880" w:rsidP="008A588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 xml:space="preserve">Tokiko arreta- eta koordinazio-protokoloak eguneratzea, emakumeen aurkako indarkeria matxistaren biktimak eta </w:t>
      </w:r>
      <w:proofErr w:type="spellStart"/>
      <w:r w:rsidRPr="008A5880">
        <w:rPr>
          <w:sz w:val="24"/>
          <w:szCs w:val="24"/>
          <w:lang w:val="eu"/>
        </w:rPr>
        <w:t>bizirauleak</w:t>
      </w:r>
      <w:proofErr w:type="spellEnd"/>
      <w:r w:rsidRPr="008A5880">
        <w:rPr>
          <w:sz w:val="24"/>
          <w:szCs w:val="24"/>
          <w:lang w:val="eu"/>
        </w:rPr>
        <w:t xml:space="preserve"> onbideratzeko.</w:t>
      </w:r>
    </w:p>
    <w:p w14:paraId="36C486F1" w14:textId="77777777" w:rsidR="008A5880" w:rsidRPr="008A5880" w:rsidRDefault="008A5880" w:rsidP="008A588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u"/>
        </w:rPr>
      </w:pPr>
      <w:r w:rsidRPr="008A5880">
        <w:rPr>
          <w:sz w:val="24"/>
          <w:szCs w:val="24"/>
          <w:lang w:val="eu"/>
        </w:rPr>
        <w:t>Herritarren artean, indarkeria matxistari aurre egiteko programak garatzea, gizonak eta mutikoak bereziki mugiaraziz.</w:t>
      </w:r>
    </w:p>
    <w:p w14:paraId="2C79A0D2" w14:textId="77777777" w:rsidR="008A5880" w:rsidRPr="008A5880" w:rsidRDefault="008A5880" w:rsidP="008A588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u-ES"/>
        </w:rPr>
      </w:pPr>
      <w:r w:rsidRPr="008A5880">
        <w:rPr>
          <w:sz w:val="24"/>
          <w:szCs w:val="24"/>
          <w:lang w:val="eu-ES"/>
        </w:rPr>
        <w:t>Zainketen ekonomia eraldatzeko tokiko prozesuak abian jartzea, ikuspegi feministatik.</w:t>
      </w:r>
    </w:p>
    <w:p w14:paraId="511B66E3" w14:textId="77777777" w:rsidR="008A5880" w:rsidRPr="008A5880" w:rsidRDefault="008A5880" w:rsidP="008A588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u-ES"/>
        </w:rPr>
      </w:pPr>
      <w:r w:rsidRPr="008A5880">
        <w:rPr>
          <w:sz w:val="24"/>
          <w:szCs w:val="24"/>
          <w:lang w:val="eu-ES"/>
        </w:rPr>
        <w:lastRenderedPageBreak/>
        <w:t>Berdintasunaren eta indarkeria matxistaren aurkako borrokari buruzko tokiko ekintza-planetan jasotako agenda feministen gaineko kontuak ematea, aldian-aldian.</w:t>
      </w:r>
    </w:p>
    <w:p w14:paraId="7A6FE97C" w14:textId="77777777" w:rsidR="00D13FA6" w:rsidRDefault="00D13FA6"/>
    <w:sectPr w:rsidR="00D13FA6" w:rsidSect="008A5880">
      <w:headerReference w:type="default" r:id="rId7"/>
      <w:pgSz w:w="11906" w:h="16838"/>
      <w:pgMar w:top="1985" w:right="153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BAA5" w14:textId="77777777" w:rsidR="008A5880" w:rsidRDefault="008A5880" w:rsidP="008A5880">
      <w:pPr>
        <w:spacing w:after="0"/>
      </w:pPr>
      <w:r>
        <w:separator/>
      </w:r>
    </w:p>
  </w:endnote>
  <w:endnote w:type="continuationSeparator" w:id="0">
    <w:p w14:paraId="0B527DB5" w14:textId="77777777" w:rsidR="008A5880" w:rsidRDefault="008A5880" w:rsidP="008A58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C02D" w14:textId="77777777" w:rsidR="008A5880" w:rsidRDefault="008A5880" w:rsidP="008A5880">
      <w:pPr>
        <w:spacing w:after="0"/>
      </w:pPr>
      <w:r>
        <w:separator/>
      </w:r>
    </w:p>
  </w:footnote>
  <w:footnote w:type="continuationSeparator" w:id="0">
    <w:p w14:paraId="2879017B" w14:textId="77777777" w:rsidR="008A5880" w:rsidRDefault="008A5880" w:rsidP="008A58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9"/>
      <w:gridCol w:w="1219"/>
      <w:gridCol w:w="3447"/>
    </w:tblGrid>
    <w:tr w:rsidR="008A5880" w:rsidRPr="008A5880" w14:paraId="14C9F0A2" w14:textId="77777777" w:rsidTr="009725B6">
      <w:tc>
        <w:tcPr>
          <w:tcW w:w="3799" w:type="dxa"/>
        </w:tcPr>
        <w:p w14:paraId="231995B6" w14:textId="77777777" w:rsidR="008A5880" w:rsidRPr="008A5880" w:rsidRDefault="008A5880" w:rsidP="008A5880">
          <w:pPr>
            <w:tabs>
              <w:tab w:val="center" w:pos="4252"/>
              <w:tab w:val="right" w:pos="8504"/>
            </w:tabs>
            <w:suppressAutoHyphens w:val="0"/>
            <w:autoSpaceDN/>
            <w:spacing w:after="0"/>
            <w:rPr>
              <w:rFonts w:asciiTheme="minorHAnsi" w:eastAsiaTheme="minorHAnsi" w:hAnsiTheme="minorHAnsi" w:cstheme="minorBidi"/>
              <w:kern w:val="0"/>
            </w:rPr>
          </w:pPr>
        </w:p>
        <w:p w14:paraId="2791210A" w14:textId="77777777" w:rsidR="008A5880" w:rsidRPr="008A5880" w:rsidRDefault="008A5880" w:rsidP="008A5880">
          <w:pPr>
            <w:tabs>
              <w:tab w:val="center" w:pos="4252"/>
              <w:tab w:val="right" w:pos="8504"/>
            </w:tabs>
            <w:suppressAutoHyphens w:val="0"/>
            <w:autoSpaceDN/>
            <w:spacing w:after="0"/>
            <w:jc w:val="center"/>
            <w:rPr>
              <w:rFonts w:asciiTheme="minorHAnsi" w:eastAsiaTheme="minorHAnsi" w:hAnsiTheme="minorHAnsi" w:cstheme="minorBidi"/>
              <w:b/>
              <w:kern w:val="0"/>
            </w:rPr>
          </w:pPr>
        </w:p>
        <w:p w14:paraId="05AD3FC6" w14:textId="77777777" w:rsidR="008A5880" w:rsidRPr="008A5880" w:rsidRDefault="008A5880" w:rsidP="008A5880">
          <w:pPr>
            <w:tabs>
              <w:tab w:val="center" w:pos="4252"/>
              <w:tab w:val="right" w:pos="8504"/>
            </w:tabs>
            <w:suppressAutoHyphens w:val="0"/>
            <w:autoSpaceDN/>
            <w:spacing w:after="0"/>
            <w:jc w:val="center"/>
            <w:rPr>
              <w:rFonts w:asciiTheme="minorHAnsi" w:eastAsiaTheme="minorHAnsi" w:hAnsiTheme="minorHAnsi" w:cstheme="minorBidi"/>
              <w:b/>
              <w:kern w:val="0"/>
            </w:rPr>
          </w:pPr>
          <w:r w:rsidRPr="008A5880">
            <w:rPr>
              <w:rFonts w:asciiTheme="minorHAnsi" w:eastAsiaTheme="minorHAnsi" w:hAnsiTheme="minorHAnsi" w:cstheme="minorBidi"/>
              <w:b/>
              <w:kern w:val="0"/>
            </w:rPr>
            <w:t>AYUNTAMIENTO DE PEÑACERRADA</w:t>
          </w:r>
        </w:p>
        <w:p w14:paraId="627438D0" w14:textId="77777777" w:rsidR="008A5880" w:rsidRPr="008A5880" w:rsidRDefault="008A5880" w:rsidP="008A5880">
          <w:pPr>
            <w:tabs>
              <w:tab w:val="center" w:pos="4252"/>
              <w:tab w:val="right" w:pos="8504"/>
            </w:tabs>
            <w:suppressAutoHyphens w:val="0"/>
            <w:autoSpaceDN/>
            <w:spacing w:after="0"/>
            <w:jc w:val="center"/>
            <w:rPr>
              <w:rFonts w:asciiTheme="minorHAnsi" w:eastAsiaTheme="minorHAnsi" w:hAnsiTheme="minorHAnsi" w:cstheme="minorBidi"/>
              <w:i/>
              <w:kern w:val="0"/>
            </w:rPr>
          </w:pPr>
          <w:r w:rsidRPr="008A5880">
            <w:rPr>
              <w:rFonts w:asciiTheme="minorHAnsi" w:eastAsiaTheme="minorHAnsi" w:hAnsiTheme="minorHAnsi" w:cstheme="minorBidi"/>
              <w:i/>
              <w:kern w:val="0"/>
            </w:rPr>
            <w:t>(ALAVA)</w:t>
          </w:r>
        </w:p>
      </w:tc>
      <w:tc>
        <w:tcPr>
          <w:tcW w:w="1219" w:type="dxa"/>
        </w:tcPr>
        <w:p w14:paraId="1FB47202" w14:textId="77777777" w:rsidR="008A5880" w:rsidRPr="008A5880" w:rsidRDefault="008A5880" w:rsidP="008A5880">
          <w:pPr>
            <w:tabs>
              <w:tab w:val="center" w:pos="4252"/>
              <w:tab w:val="right" w:pos="8504"/>
            </w:tabs>
            <w:suppressAutoHyphens w:val="0"/>
            <w:autoSpaceDN/>
            <w:spacing w:after="0"/>
            <w:jc w:val="center"/>
            <w:rPr>
              <w:rFonts w:asciiTheme="minorHAnsi" w:eastAsiaTheme="minorHAnsi" w:hAnsiTheme="minorHAnsi" w:cstheme="minorBidi"/>
              <w:kern w:val="0"/>
            </w:rPr>
          </w:pPr>
          <w:r w:rsidRPr="008A5880">
            <w:rPr>
              <w:rFonts w:asciiTheme="minorHAnsi" w:eastAsiaTheme="minorHAnsi" w:hAnsiTheme="minorHAnsi" w:cstheme="minorBidi"/>
              <w:noProof/>
              <w:kern w:val="0"/>
            </w:rPr>
            <w:drawing>
              <wp:inline distT="0" distB="0" distL="0" distR="0" wp14:anchorId="222141C8" wp14:editId="70E561B5">
                <wp:extent cx="638175" cy="876300"/>
                <wp:effectExtent l="0" t="0" r="9525" b="0"/>
                <wp:docPr id="1712174168" name="Imagen 1712174168" descr="PEN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ENA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7" w:type="dxa"/>
        </w:tcPr>
        <w:p w14:paraId="68868686" w14:textId="77777777" w:rsidR="008A5880" w:rsidRPr="008A5880" w:rsidRDefault="008A5880" w:rsidP="008A5880">
          <w:pPr>
            <w:tabs>
              <w:tab w:val="center" w:pos="4252"/>
              <w:tab w:val="right" w:pos="8504"/>
            </w:tabs>
            <w:suppressAutoHyphens w:val="0"/>
            <w:autoSpaceDN/>
            <w:spacing w:after="0"/>
            <w:rPr>
              <w:rFonts w:asciiTheme="minorHAnsi" w:eastAsiaTheme="minorHAnsi" w:hAnsiTheme="minorHAnsi" w:cstheme="minorBidi"/>
              <w:kern w:val="0"/>
            </w:rPr>
          </w:pPr>
        </w:p>
        <w:p w14:paraId="0BE3ADAE" w14:textId="77777777" w:rsidR="008A5880" w:rsidRPr="008A5880" w:rsidRDefault="008A5880" w:rsidP="008A5880">
          <w:pPr>
            <w:tabs>
              <w:tab w:val="center" w:pos="4252"/>
              <w:tab w:val="right" w:pos="8504"/>
            </w:tabs>
            <w:suppressAutoHyphens w:val="0"/>
            <w:autoSpaceDN/>
            <w:spacing w:after="0"/>
            <w:jc w:val="center"/>
            <w:rPr>
              <w:rFonts w:asciiTheme="minorHAnsi" w:eastAsiaTheme="minorHAnsi" w:hAnsiTheme="minorHAnsi" w:cstheme="minorBidi"/>
              <w:b/>
              <w:kern w:val="0"/>
            </w:rPr>
          </w:pPr>
        </w:p>
        <w:p w14:paraId="388AAE60" w14:textId="77777777" w:rsidR="008A5880" w:rsidRPr="008A5880" w:rsidRDefault="008A5880" w:rsidP="008A5880">
          <w:pPr>
            <w:tabs>
              <w:tab w:val="center" w:pos="4252"/>
              <w:tab w:val="right" w:pos="8504"/>
            </w:tabs>
            <w:suppressAutoHyphens w:val="0"/>
            <w:autoSpaceDN/>
            <w:spacing w:after="0"/>
            <w:jc w:val="center"/>
            <w:rPr>
              <w:rFonts w:asciiTheme="minorHAnsi" w:eastAsiaTheme="minorHAnsi" w:hAnsiTheme="minorHAnsi" w:cstheme="minorBidi"/>
              <w:b/>
              <w:kern w:val="0"/>
            </w:rPr>
          </w:pPr>
          <w:r w:rsidRPr="008A5880">
            <w:rPr>
              <w:rFonts w:asciiTheme="minorHAnsi" w:eastAsiaTheme="minorHAnsi" w:hAnsiTheme="minorHAnsi" w:cstheme="minorBidi"/>
              <w:b/>
              <w:kern w:val="0"/>
            </w:rPr>
            <w:t>URIZAHARREKO UDALA</w:t>
          </w:r>
        </w:p>
        <w:p w14:paraId="3B505B43" w14:textId="77777777" w:rsidR="008A5880" w:rsidRPr="008A5880" w:rsidRDefault="008A5880" w:rsidP="008A5880">
          <w:pPr>
            <w:tabs>
              <w:tab w:val="center" w:pos="4252"/>
              <w:tab w:val="right" w:pos="8504"/>
            </w:tabs>
            <w:suppressAutoHyphens w:val="0"/>
            <w:autoSpaceDN/>
            <w:spacing w:after="0"/>
            <w:jc w:val="center"/>
            <w:rPr>
              <w:rFonts w:asciiTheme="minorHAnsi" w:eastAsiaTheme="minorHAnsi" w:hAnsiTheme="minorHAnsi" w:cstheme="minorBidi"/>
              <w:i/>
              <w:kern w:val="0"/>
            </w:rPr>
          </w:pPr>
          <w:r w:rsidRPr="008A5880">
            <w:rPr>
              <w:rFonts w:asciiTheme="minorHAnsi" w:eastAsiaTheme="minorHAnsi" w:hAnsiTheme="minorHAnsi" w:cstheme="minorBidi"/>
              <w:i/>
              <w:kern w:val="0"/>
            </w:rPr>
            <w:t>(ARABA)</w:t>
          </w:r>
        </w:p>
      </w:tc>
    </w:tr>
  </w:tbl>
  <w:p w14:paraId="6D099170" w14:textId="181FB4FC" w:rsidR="008A5880" w:rsidRDefault="008A5880" w:rsidP="008A5880">
    <w:pPr>
      <w:pStyle w:val="Encabezado"/>
      <w:tabs>
        <w:tab w:val="clear" w:pos="4252"/>
        <w:tab w:val="clear" w:pos="8504"/>
        <w:tab w:val="left" w:pos="16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722D"/>
    <w:multiLevelType w:val="multilevel"/>
    <w:tmpl w:val="E5A69C92"/>
    <w:lvl w:ilvl="0">
      <w:numFmt w:val="bullet"/>
      <w:lvlText w:val="•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6342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80"/>
    <w:rsid w:val="00116BE5"/>
    <w:rsid w:val="008A5880"/>
    <w:rsid w:val="009A55C5"/>
    <w:rsid w:val="00C23DB9"/>
    <w:rsid w:val="00CB701A"/>
    <w:rsid w:val="00D1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5DC1"/>
  <w15:chartTrackingRefBased/>
  <w15:docId w15:val="{C30BAC84-4CBF-4062-875B-6C4F19D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80"/>
    <w:pPr>
      <w:suppressAutoHyphens/>
      <w:autoSpaceDN w:val="0"/>
      <w:spacing w:line="240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5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5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5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5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5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5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5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5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588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58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880"/>
    <w:rPr>
      <w:rFonts w:eastAsiaTheme="majorEastAsia" w:cstheme="majorBidi"/>
      <w:color w:val="2F5496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5880"/>
    <w:rPr>
      <w:rFonts w:eastAsiaTheme="majorEastAsia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5880"/>
    <w:rPr>
      <w:rFonts w:eastAsiaTheme="majorEastAsia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5880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5880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5880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5880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A5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588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A5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5880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A5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588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qFormat/>
    <w:rsid w:val="008A58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58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5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5880"/>
    <w:rPr>
      <w:i/>
      <w:iCs/>
      <w:color w:val="2F5496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A5880"/>
    <w:rPr>
      <w:b/>
      <w:bCs/>
      <w:smallCaps/>
      <w:color w:val="2F5496" w:themeColor="accent1" w:themeShade="BF"/>
      <w:spacing w:val="5"/>
    </w:rPr>
  </w:style>
  <w:style w:type="paragraph" w:styleId="Textonotapie">
    <w:name w:val="footnote text"/>
    <w:basedOn w:val="Normal"/>
    <w:link w:val="TextonotapieCar"/>
    <w:rsid w:val="008A5880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A5880"/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8A5880"/>
    <w:rPr>
      <w:position w:val="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A588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A5880"/>
    <w:rPr>
      <w:rFonts w:ascii="Aptos" w:eastAsia="Aptos" w:hAnsi="Aptos" w:cs="Times New Roman"/>
      <w:kern w:val="3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A588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880"/>
    <w:rPr>
      <w:rFonts w:ascii="Aptos" w:eastAsia="Aptos" w:hAnsi="Aptos" w:cs="Times New Roman"/>
      <w:kern w:val="3"/>
      <w14:ligatures w14:val="none"/>
    </w:rPr>
  </w:style>
  <w:style w:type="paragraph" w:customStyle="1" w:styleId="Normala1">
    <w:name w:val="Normala1"/>
    <w:rsid w:val="008A588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 peñacerrada</dc:creator>
  <cp:keywords/>
  <dc:description/>
  <cp:lastModifiedBy>Ayto peñacerrada</cp:lastModifiedBy>
  <cp:revision>1</cp:revision>
  <dcterms:created xsi:type="dcterms:W3CDTF">2025-03-18T18:51:00Z</dcterms:created>
  <dcterms:modified xsi:type="dcterms:W3CDTF">2025-03-18T18:56:00Z</dcterms:modified>
</cp:coreProperties>
</file>